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A" w:rsidRPr="002F1B5A" w:rsidRDefault="002F1B5A" w:rsidP="002F1B5A">
      <w:pPr>
        <w:jc w:val="center"/>
        <w:rPr>
          <w:b/>
        </w:rPr>
      </w:pPr>
      <w:r w:rsidRPr="002F1B5A">
        <w:rPr>
          <w:b/>
        </w:rPr>
        <w:t>Ministerio de Salud</w:t>
      </w:r>
    </w:p>
    <w:p w:rsidR="002F1B5A" w:rsidRPr="002F1B5A" w:rsidRDefault="002F1B5A" w:rsidP="002F1B5A">
      <w:pPr>
        <w:jc w:val="center"/>
        <w:rPr>
          <w:b/>
        </w:rPr>
      </w:pPr>
      <w:r w:rsidRPr="002F1B5A">
        <w:rPr>
          <w:b/>
        </w:rPr>
        <w:t>SUBSECRETARÍA DE SALUD PÚBLICA</w:t>
      </w:r>
    </w:p>
    <w:p w:rsidR="002F1B5A" w:rsidRPr="002F1B5A" w:rsidRDefault="002F1B5A" w:rsidP="002F1B5A">
      <w:pPr>
        <w:jc w:val="center"/>
        <w:rPr>
          <w:b/>
        </w:rPr>
      </w:pPr>
      <w:r w:rsidRPr="002F1B5A">
        <w:rPr>
          <w:b/>
        </w:rPr>
        <w:t>COMPLEMENTA RESOLUCIÓN N° 427 EXENTA, DE 2010, QUE DEFINE LISTA DE ALÉRGENOS ALIMENTARIOS QUE DEBEN ROTULARSE CONFORME AL ARTÍCULO 107 LETRA H) DEL REGLAMENTO SANITARIO DE LOS ALIMENTOS</w:t>
      </w:r>
    </w:p>
    <w:p w:rsidR="002F1B5A" w:rsidRPr="002F1B5A" w:rsidRDefault="002F1B5A" w:rsidP="002F1B5A">
      <w:pPr>
        <w:jc w:val="center"/>
        <w:rPr>
          <w:b/>
        </w:rPr>
      </w:pPr>
      <w:r w:rsidRPr="002F1B5A">
        <w:rPr>
          <w:b/>
        </w:rPr>
        <w:t>(Resol</w:t>
      </w:r>
      <w:bookmarkStart w:id="0" w:name="_GoBack"/>
      <w:bookmarkEnd w:id="0"/>
      <w:r w:rsidRPr="002F1B5A">
        <w:rPr>
          <w:b/>
        </w:rPr>
        <w:t>ución)</w:t>
      </w:r>
    </w:p>
    <w:p w:rsidR="002F1B5A" w:rsidRDefault="002F1B5A" w:rsidP="002F1B5A">
      <w:pPr>
        <w:ind w:firstLine="3544"/>
        <w:rPr>
          <w:b/>
        </w:rPr>
      </w:pPr>
      <w:r w:rsidRPr="002F1B5A">
        <w:rPr>
          <w:b/>
        </w:rPr>
        <w:t xml:space="preserve"> N</w:t>
      </w:r>
      <w:r w:rsidRPr="002F1B5A">
        <w:rPr>
          <w:b/>
        </w:rPr>
        <w:t>º</w:t>
      </w:r>
      <w:r w:rsidRPr="002F1B5A">
        <w:rPr>
          <w:b/>
        </w:rPr>
        <w:t xml:space="preserve">. 817 exenta.- </w:t>
      </w:r>
    </w:p>
    <w:p w:rsidR="002F1B5A" w:rsidRDefault="002F1B5A" w:rsidP="002F1B5A">
      <w:pPr>
        <w:ind w:firstLine="3544"/>
        <w:rPr>
          <w:b/>
        </w:rPr>
      </w:pPr>
    </w:p>
    <w:p w:rsidR="002F1B5A" w:rsidRPr="002F1B5A" w:rsidRDefault="002F1B5A" w:rsidP="002F1B5A">
      <w:pPr>
        <w:ind w:firstLine="3544"/>
        <w:rPr>
          <w:b/>
        </w:rPr>
      </w:pPr>
      <w:r>
        <w:rPr>
          <w:b/>
        </w:rPr>
        <w:t>Publicada en el Diario Oficial de 12.01.13</w:t>
      </w:r>
    </w:p>
    <w:p w:rsidR="002F1B5A" w:rsidRPr="002F1B5A" w:rsidRDefault="002F1B5A" w:rsidP="002F1B5A">
      <w:pPr>
        <w:ind w:firstLine="3544"/>
        <w:rPr>
          <w:b/>
        </w:rPr>
      </w:pPr>
      <w:r w:rsidRPr="002F1B5A">
        <w:rPr>
          <w:b/>
        </w:rPr>
        <w:t>Santiago, 26 de diciembre de 2012.-</w:t>
      </w:r>
    </w:p>
    <w:p w:rsidR="002F1B5A" w:rsidRDefault="002F1B5A" w:rsidP="002F1B5A">
      <w:pPr>
        <w:ind w:firstLine="3544"/>
        <w:jc w:val="both"/>
      </w:pPr>
      <w:r w:rsidRPr="002F1B5A">
        <w:rPr>
          <w:b/>
        </w:rPr>
        <w:t xml:space="preserve"> Vistos:</w:t>
      </w:r>
      <w:r>
        <w:t xml:space="preserve"> Lo establecido en los artículos 4° N° 2 y artículo 7° del DFL N° 1, de 2005, del Ministerio de Salud, que fija el texto refundido, coordinado y sistematizado del decreto ley N° 2.763, de 1979, y de las leyes N° 18.933 y N° 18.469; lo dispuesto en el Título III del Libro Cuarto del Código Sanitario; en el artículo 7° del decreto N° 136, de 2004, Reglamento Orgánico del Ministerio de Salud; en el artículo 107 del decreto supremo N° 977, de 1996, del Ministerio de Salud que aprueba el Reglamento Sanitario de los Alimentos, y lo dispuesto en la resolución N° 1.600, de 2008, de la Contraloría General de la República; y</w:t>
      </w:r>
    </w:p>
    <w:p w:rsidR="002F1B5A" w:rsidRPr="002F1B5A" w:rsidRDefault="002F1B5A" w:rsidP="002F1B5A">
      <w:pPr>
        <w:jc w:val="both"/>
        <w:rPr>
          <w:b/>
        </w:rPr>
      </w:pPr>
      <w:r w:rsidRPr="002F1B5A">
        <w:rPr>
          <w:b/>
        </w:rPr>
        <w:t>Considerando:</w:t>
      </w:r>
    </w:p>
    <w:p w:rsidR="002F1B5A" w:rsidRDefault="002F1B5A" w:rsidP="002F1B5A">
      <w:pPr>
        <w:jc w:val="both"/>
      </w:pPr>
      <w:r>
        <w:t xml:space="preserve"> 1.- Que, mediante resolución exenta N° 427 de fecha 14 de junio de 2010, del Ministerio de Salud, se procedió a definir la lista de alérgenos alimentarios que deben rotularse conforme al artículo 107 letra h del Reglamento Sanitario de los Alimentos.</w:t>
      </w:r>
    </w:p>
    <w:p w:rsidR="002F1B5A" w:rsidRDefault="002F1B5A" w:rsidP="002F1B5A">
      <w:pPr>
        <w:jc w:val="both"/>
      </w:pPr>
      <w:r>
        <w:t>2.- Que, mediante memorándum N° 1091, de fecha 13 de noviembre de 2012, de Jefa de División de Políticas Públicas saludables y promoción, se solicita modificación de la resolución N° 427/2010, ya citada, con el objeto de agregar nueva información al final del punto número uno de la parte resolutiva.</w:t>
      </w:r>
    </w:p>
    <w:p w:rsidR="002F1B5A" w:rsidRDefault="002F1B5A" w:rsidP="002F1B5A">
      <w:pPr>
        <w:jc w:val="both"/>
      </w:pPr>
      <w:r>
        <w:t>3.- Que, en virtud de lo anteriormente señalado, dicto la siguiente:</w:t>
      </w:r>
    </w:p>
    <w:p w:rsidR="002F1B5A" w:rsidRPr="002F1B5A" w:rsidRDefault="002F1B5A" w:rsidP="002F1B5A">
      <w:pPr>
        <w:jc w:val="center"/>
        <w:rPr>
          <w:b/>
        </w:rPr>
      </w:pPr>
      <w:r w:rsidRPr="002F1B5A">
        <w:rPr>
          <w:b/>
        </w:rPr>
        <w:t>Resolución:</w:t>
      </w:r>
    </w:p>
    <w:p w:rsidR="002F1B5A" w:rsidRDefault="002F1B5A" w:rsidP="002F1B5A">
      <w:pPr>
        <w:jc w:val="both"/>
      </w:pPr>
      <w:r>
        <w:t xml:space="preserve"> 1° Compleméntese la resolución exenta N° 427, de fecha 14 de junio de 2010, incorporando al final del punto número uno de la parte resolutiva, el siguiente nuevo texto, a saber:</w:t>
      </w:r>
    </w:p>
    <w:p w:rsidR="002F1B5A" w:rsidRDefault="002F1B5A" w:rsidP="002F1B5A">
      <w:pPr>
        <w:jc w:val="both"/>
      </w:pPr>
      <w:r>
        <w:t>"Se exceptúan de esta obligación:</w:t>
      </w:r>
    </w:p>
    <w:p w:rsidR="002F1B5A" w:rsidRDefault="002F1B5A" w:rsidP="002F1B5A">
      <w:pPr>
        <w:jc w:val="both"/>
      </w:pPr>
      <w:r>
        <w:lastRenderedPageBreak/>
        <w:t xml:space="preserve">     Los jarabes de glucosa a base de trigo, incluida la dextrosa; </w:t>
      </w:r>
      <w:proofErr w:type="spellStart"/>
      <w:r>
        <w:t>Maltodextrinas</w:t>
      </w:r>
      <w:proofErr w:type="spellEnd"/>
      <w:r>
        <w:t xml:space="preserve"> a base de trigo; jarabes de glucosa a base de cebada.</w:t>
      </w:r>
    </w:p>
    <w:p w:rsidR="002F1B5A" w:rsidRDefault="002F1B5A" w:rsidP="002F1B5A">
      <w:pPr>
        <w:jc w:val="both"/>
      </w:pPr>
      <w:r>
        <w:t xml:space="preserve">      La gelatina de pescado utilizada como soporte de vitaminas y aromas.</w:t>
      </w:r>
    </w:p>
    <w:p w:rsidR="002F1B5A" w:rsidRDefault="002F1B5A" w:rsidP="002F1B5A">
      <w:pPr>
        <w:jc w:val="both"/>
      </w:pPr>
      <w:r>
        <w:t xml:space="preserve">      Aceite y grasa de soja refinados; Tocoferoles naturales mezclados (E306), D-alfa tocoferol natural, acetato de D-alfa tocoferol natural y </w:t>
      </w:r>
      <w:proofErr w:type="spellStart"/>
      <w:r>
        <w:t>succinato</w:t>
      </w:r>
      <w:proofErr w:type="spellEnd"/>
      <w:r>
        <w:t xml:space="preserve"> de D-alfa tocoferol natural derivados de soja, </w:t>
      </w:r>
      <w:proofErr w:type="spellStart"/>
      <w:r>
        <w:t>fitosteroles</w:t>
      </w:r>
      <w:proofErr w:type="spellEnd"/>
      <w:r>
        <w:t xml:space="preserve"> y ésteres de </w:t>
      </w:r>
      <w:proofErr w:type="spellStart"/>
      <w:r>
        <w:t>fitosterol</w:t>
      </w:r>
      <w:proofErr w:type="spellEnd"/>
      <w:r>
        <w:t xml:space="preserve"> derivados de aceites vegetales de soja; Ésteres de </w:t>
      </w:r>
      <w:proofErr w:type="spellStart"/>
      <w:r>
        <w:t>fitostanol</w:t>
      </w:r>
      <w:proofErr w:type="spellEnd"/>
      <w:r>
        <w:t xml:space="preserve"> derivados de </w:t>
      </w:r>
      <w:proofErr w:type="spellStart"/>
      <w:r>
        <w:t>fitosteroles</w:t>
      </w:r>
      <w:proofErr w:type="spellEnd"/>
      <w:r>
        <w:t xml:space="preserve"> de aceite de soja)</w:t>
      </w:r>
    </w:p>
    <w:p w:rsidR="002F1B5A" w:rsidRDefault="002F1B5A" w:rsidP="002F1B5A">
      <w:pPr>
        <w:jc w:val="both"/>
      </w:pPr>
      <w:r>
        <w:t xml:space="preserve">      </w:t>
      </w:r>
      <w:proofErr w:type="spellStart"/>
      <w:r>
        <w:t>Lactitol</w:t>
      </w:r>
      <w:proofErr w:type="spellEnd"/>
      <w:r>
        <w:t>.”</w:t>
      </w:r>
    </w:p>
    <w:p w:rsidR="002F1B5A" w:rsidRDefault="002F1B5A" w:rsidP="002F1B5A">
      <w:pPr>
        <w:jc w:val="both"/>
      </w:pPr>
      <w:r>
        <w:t xml:space="preserve">   2° </w:t>
      </w:r>
      <w:proofErr w:type="spellStart"/>
      <w:r>
        <w:t>Déjase</w:t>
      </w:r>
      <w:proofErr w:type="spellEnd"/>
      <w:r>
        <w:t xml:space="preserve"> constancia de la plena vigencia de la resolución exenta N° 427, de 14 de junio de 2010, en todo aquello no modificado por esta resolución.</w:t>
      </w:r>
    </w:p>
    <w:p w:rsidR="002F1B5A" w:rsidRDefault="002F1B5A" w:rsidP="002F1B5A">
      <w:r>
        <w:t>3° La presente resolución entrará en vigencia el día 18 de octubre de 2013.</w:t>
      </w:r>
    </w:p>
    <w:p w:rsidR="002F1B5A" w:rsidRPr="002F1B5A" w:rsidRDefault="002F1B5A" w:rsidP="002F1B5A">
      <w:pPr>
        <w:rPr>
          <w:b/>
        </w:rPr>
      </w:pPr>
      <w:r w:rsidRPr="002F1B5A">
        <w:rPr>
          <w:b/>
        </w:rPr>
        <w:t xml:space="preserve">Anótese y publíquese.- Jorge Díaz </w:t>
      </w:r>
      <w:proofErr w:type="spellStart"/>
      <w:r w:rsidRPr="002F1B5A">
        <w:rPr>
          <w:b/>
        </w:rPr>
        <w:t>Anaiz</w:t>
      </w:r>
      <w:proofErr w:type="spellEnd"/>
      <w:r w:rsidRPr="002F1B5A">
        <w:rPr>
          <w:b/>
        </w:rPr>
        <w:t>, Subsecretario de Salud Pública.</w:t>
      </w:r>
    </w:p>
    <w:p w:rsidR="002F1B5A" w:rsidRPr="002F1B5A" w:rsidRDefault="002F1B5A" w:rsidP="002F1B5A">
      <w:pPr>
        <w:rPr>
          <w:b/>
        </w:rPr>
      </w:pPr>
      <w:r w:rsidRPr="002F1B5A">
        <w:rPr>
          <w:b/>
        </w:rPr>
        <w:t xml:space="preserve">Transcribo para su conocimiento resolución exenta N° 817/2012.- Saluda atentamente a Ud., Jorge Díaz </w:t>
      </w:r>
      <w:proofErr w:type="spellStart"/>
      <w:r w:rsidRPr="002F1B5A">
        <w:rPr>
          <w:b/>
        </w:rPr>
        <w:t>Anaiz</w:t>
      </w:r>
      <w:proofErr w:type="spellEnd"/>
      <w:r w:rsidRPr="002F1B5A">
        <w:rPr>
          <w:b/>
        </w:rPr>
        <w:t>, Subsecretario de Salud Pública.</w:t>
      </w:r>
    </w:p>
    <w:p w:rsidR="002F1B5A" w:rsidRDefault="002F1B5A" w:rsidP="002F1B5A">
      <w:r>
        <w:t xml:space="preserve">  </w:t>
      </w:r>
    </w:p>
    <w:p w:rsidR="002F1B5A" w:rsidRDefault="002F1B5A" w:rsidP="002F1B5A">
      <w:r>
        <w:t xml:space="preserve"> </w:t>
      </w:r>
    </w:p>
    <w:p w:rsidR="002F1B5A" w:rsidRDefault="002F1B5A" w:rsidP="002F1B5A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5A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1B5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2013-01-14T17:34:00Z</dcterms:created>
  <dcterms:modified xsi:type="dcterms:W3CDTF">2013-01-14T17:37:00Z</dcterms:modified>
</cp:coreProperties>
</file>